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94FD" w14:textId="5E106651" w:rsidR="008A638F" w:rsidRDefault="007918A4" w:rsidP="008A638F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091276F8" w14:textId="77777777" w:rsidR="008A638F" w:rsidRDefault="008A638F" w:rsidP="008A638F">
      <w:pPr>
        <w:rPr>
          <w:rFonts w:eastAsia="Times New Roman"/>
        </w:rPr>
      </w:pPr>
    </w:p>
    <w:p w14:paraId="246ABF65" w14:textId="77777777" w:rsidR="008A638F" w:rsidRDefault="008A638F" w:rsidP="008A638F">
      <w:pPr>
        <w:rPr>
          <w:rFonts w:eastAsia="Times New Roman"/>
        </w:rPr>
      </w:pPr>
    </w:p>
    <w:p w14:paraId="2E3D3B1E" w14:textId="75C51783" w:rsidR="008A638F" w:rsidRDefault="008A638F" w:rsidP="008A638F">
      <w:pPr>
        <w:rPr>
          <w:rFonts w:eastAsia="Times New Roman"/>
          <w:b/>
          <w:sz w:val="28"/>
          <w:szCs w:val="28"/>
        </w:rPr>
      </w:pPr>
      <w:r w:rsidRPr="008A638F">
        <w:rPr>
          <w:rFonts w:eastAsia="Times New Roman"/>
          <w:b/>
          <w:sz w:val="28"/>
          <w:szCs w:val="28"/>
        </w:rPr>
        <w:t>RELAZIONE AL BILANCIO CONSUNTIVO 20</w:t>
      </w:r>
      <w:r w:rsidR="002B7D70">
        <w:rPr>
          <w:rFonts w:eastAsia="Times New Roman"/>
          <w:b/>
          <w:sz w:val="28"/>
          <w:szCs w:val="28"/>
        </w:rPr>
        <w:t>2</w:t>
      </w:r>
      <w:r w:rsidR="00285A8C">
        <w:rPr>
          <w:rFonts w:eastAsia="Times New Roman"/>
          <w:b/>
          <w:sz w:val="28"/>
          <w:szCs w:val="28"/>
        </w:rPr>
        <w:t>1</w:t>
      </w:r>
    </w:p>
    <w:p w14:paraId="7E11B4ED" w14:textId="77777777" w:rsidR="008A638F" w:rsidRPr="008A638F" w:rsidRDefault="008A638F" w:rsidP="008A638F">
      <w:pPr>
        <w:rPr>
          <w:rFonts w:eastAsia="Times New Roman"/>
          <w:b/>
          <w:sz w:val="28"/>
          <w:szCs w:val="28"/>
        </w:rPr>
      </w:pPr>
    </w:p>
    <w:p w14:paraId="0856EFCC" w14:textId="77777777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>Relazione del Tesoriere sulla Gestione</w:t>
      </w:r>
    </w:p>
    <w:p w14:paraId="0A3A16CA" w14:textId="426F9610" w:rsid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I fatti di rilievo che hanno caratterizzato la gestione dell’esercizio in esame sono costituiti principalmente </w:t>
      </w:r>
      <w:r w:rsidR="00C72D41">
        <w:rPr>
          <w:rFonts w:eastAsia="Times New Roman"/>
        </w:rPr>
        <w:t>dal tesseramento</w:t>
      </w:r>
      <w:r w:rsidRPr="00C652DB">
        <w:rPr>
          <w:rFonts w:eastAsia="Times New Roman"/>
        </w:rPr>
        <w:t xml:space="preserve"> </w:t>
      </w:r>
      <w:r w:rsidR="005040F5">
        <w:rPr>
          <w:rFonts w:eastAsia="Times New Roman"/>
        </w:rPr>
        <w:t xml:space="preserve">e dalle limitate attività svolte </w:t>
      </w:r>
      <w:r w:rsidR="00C72D41">
        <w:rPr>
          <w:rFonts w:eastAsia="Times New Roman"/>
        </w:rPr>
        <w:t>poiché a causa della pandemia da covid.19</w:t>
      </w:r>
      <w:r w:rsidR="005040F5">
        <w:rPr>
          <w:rFonts w:eastAsia="Times New Roman"/>
        </w:rPr>
        <w:t xml:space="preserve"> come nell’anno precedente le iniziative sono state ridotte</w:t>
      </w:r>
      <w:r w:rsidR="00C72D41">
        <w:rPr>
          <w:rFonts w:eastAsia="Times New Roman"/>
        </w:rPr>
        <w:t>.</w:t>
      </w:r>
    </w:p>
    <w:p w14:paraId="4DC7175F" w14:textId="77777777" w:rsidR="00C67ABB" w:rsidRPr="00C652DB" w:rsidRDefault="00C67ABB" w:rsidP="00C652DB">
      <w:pPr>
        <w:jc w:val="both"/>
        <w:rPr>
          <w:rFonts w:eastAsia="Times New Roman"/>
        </w:rPr>
      </w:pPr>
    </w:p>
    <w:p w14:paraId="30E8AB46" w14:textId="4B0E757F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>Il rendiconto dell’esercizio 20</w:t>
      </w:r>
      <w:r w:rsidR="00C72D41">
        <w:rPr>
          <w:rFonts w:eastAsia="Times New Roman"/>
        </w:rPr>
        <w:t>2</w:t>
      </w:r>
      <w:r w:rsidR="00285A8C">
        <w:rPr>
          <w:rFonts w:eastAsia="Times New Roman"/>
        </w:rPr>
        <w:t>1</w:t>
      </w:r>
      <w:r w:rsidRPr="00C652DB">
        <w:rPr>
          <w:rFonts w:eastAsia="Times New Roman"/>
        </w:rPr>
        <w:t xml:space="preserve"> presenta un disavanzo di euro </w:t>
      </w:r>
      <w:r w:rsidR="00076FF5">
        <w:rPr>
          <w:rFonts w:eastAsia="Times New Roman"/>
        </w:rPr>
        <w:t>46.7</w:t>
      </w:r>
      <w:r w:rsidR="00285A8C">
        <w:rPr>
          <w:rFonts w:eastAsia="Times New Roman"/>
        </w:rPr>
        <w:t>96</w:t>
      </w:r>
      <w:r w:rsidR="00F052D4">
        <w:rPr>
          <w:rFonts w:eastAsia="Times New Roman"/>
        </w:rPr>
        <w:t>,00</w:t>
      </w:r>
    </w:p>
    <w:p w14:paraId="68FF61BC" w14:textId="77777777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>La situazione dal punto di vista economico-finanziario si è caratterizzata nei seguenti termini.</w:t>
      </w:r>
    </w:p>
    <w:p w14:paraId="28556A2D" w14:textId="470E2312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I proventi della gestione caratteristica sono stati pari a euro </w:t>
      </w:r>
      <w:r w:rsidR="00076FF5">
        <w:rPr>
          <w:rFonts w:eastAsia="Times New Roman"/>
        </w:rPr>
        <w:t>91.025,00</w:t>
      </w:r>
      <w:r w:rsidRPr="00C652DB">
        <w:rPr>
          <w:rFonts w:eastAsia="Times New Roman"/>
        </w:rPr>
        <w:t xml:space="preserve"> costituiti dalle seguenti voci:</w:t>
      </w:r>
    </w:p>
    <w:p w14:paraId="6FD70401" w14:textId="11439830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contributi dal tesseramento: </w:t>
      </w:r>
      <w:r w:rsidR="00BD44B1">
        <w:rPr>
          <w:rFonts w:eastAsia="Times New Roman"/>
        </w:rPr>
        <w:t>1</w:t>
      </w:r>
      <w:r w:rsidR="00285A8C">
        <w:rPr>
          <w:rFonts w:eastAsia="Times New Roman"/>
        </w:rPr>
        <w:t>5.200</w:t>
      </w:r>
      <w:r w:rsidRPr="00C652DB">
        <w:rPr>
          <w:rFonts w:eastAsia="Times New Roman"/>
        </w:rPr>
        <w:t>;</w:t>
      </w:r>
    </w:p>
    <w:p w14:paraId="26C19B64" w14:textId="14A03A55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>contributi dagli amministratori pubblic</w:t>
      </w:r>
      <w:r w:rsidR="00BD44B1">
        <w:rPr>
          <w:rFonts w:eastAsia="Times New Roman"/>
        </w:rPr>
        <w:t>i</w:t>
      </w:r>
      <w:r w:rsidRPr="00C652DB">
        <w:rPr>
          <w:rFonts w:eastAsia="Times New Roman"/>
        </w:rPr>
        <w:t xml:space="preserve">: </w:t>
      </w:r>
      <w:r w:rsidR="00C72D41">
        <w:rPr>
          <w:rFonts w:eastAsia="Times New Roman"/>
        </w:rPr>
        <w:t>2.</w:t>
      </w:r>
      <w:r w:rsidR="00285A8C">
        <w:rPr>
          <w:rFonts w:eastAsia="Times New Roman"/>
        </w:rPr>
        <w:t>331</w:t>
      </w:r>
      <w:r w:rsidRPr="00C652DB">
        <w:rPr>
          <w:rFonts w:eastAsia="Times New Roman"/>
        </w:rPr>
        <w:t>;</w:t>
      </w:r>
    </w:p>
    <w:p w14:paraId="4A9AFB68" w14:textId="06DFC050" w:rsidR="00BD44B1" w:rsidRPr="00C652DB" w:rsidRDefault="00BD44B1" w:rsidP="00BD44B1">
      <w:pPr>
        <w:jc w:val="both"/>
        <w:rPr>
          <w:rFonts w:eastAsia="Times New Roman"/>
        </w:rPr>
      </w:pPr>
      <w:r>
        <w:rPr>
          <w:rFonts w:eastAsia="Times New Roman"/>
        </w:rPr>
        <w:t>sottoscrizioni</w:t>
      </w:r>
      <w:r w:rsidR="00C652DB" w:rsidRPr="00C652DB">
        <w:rPr>
          <w:rFonts w:eastAsia="Times New Roman"/>
        </w:rPr>
        <w:t xml:space="preserve">: </w:t>
      </w:r>
      <w:r w:rsidR="00285A8C">
        <w:rPr>
          <w:rFonts w:eastAsia="Times New Roman"/>
        </w:rPr>
        <w:t>190</w:t>
      </w:r>
      <w:r w:rsidR="00C652DB" w:rsidRPr="00C652DB">
        <w:rPr>
          <w:rFonts w:eastAsia="Times New Roman"/>
        </w:rPr>
        <w:t>;</w:t>
      </w:r>
    </w:p>
    <w:p w14:paraId="172F4243" w14:textId="74032BAA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contributi da </w:t>
      </w:r>
      <w:r w:rsidR="00D378E8">
        <w:rPr>
          <w:rFonts w:eastAsia="Times New Roman"/>
        </w:rPr>
        <w:t>persone giuridiche</w:t>
      </w:r>
      <w:r w:rsidRPr="00C652DB">
        <w:rPr>
          <w:rFonts w:eastAsia="Times New Roman"/>
        </w:rPr>
        <w:t xml:space="preserve">: </w:t>
      </w:r>
      <w:r w:rsidR="00C72D41">
        <w:rPr>
          <w:rFonts w:eastAsia="Times New Roman"/>
        </w:rPr>
        <w:t>1</w:t>
      </w:r>
      <w:r w:rsidR="00285A8C">
        <w:rPr>
          <w:rFonts w:eastAsia="Times New Roman"/>
        </w:rPr>
        <w:t>1</w:t>
      </w:r>
      <w:r w:rsidR="00C72D41">
        <w:rPr>
          <w:rFonts w:eastAsia="Times New Roman"/>
        </w:rPr>
        <w:t>.000</w:t>
      </w:r>
      <w:r w:rsidRPr="00C652DB">
        <w:rPr>
          <w:rFonts w:eastAsia="Times New Roman"/>
        </w:rPr>
        <w:t>;</w:t>
      </w:r>
    </w:p>
    <w:p w14:paraId="51DBEBBB" w14:textId="4F9143A9" w:rsidR="00C652DB" w:rsidRDefault="00BD44B1" w:rsidP="00C652DB">
      <w:pPr>
        <w:jc w:val="both"/>
        <w:rPr>
          <w:rFonts w:eastAsia="Times New Roman"/>
        </w:rPr>
      </w:pPr>
      <w:r>
        <w:rPr>
          <w:rFonts w:eastAsia="Times New Roman"/>
        </w:rPr>
        <w:t>sopravvenienze attive</w:t>
      </w:r>
      <w:r w:rsidR="00C652DB" w:rsidRPr="00C652DB">
        <w:rPr>
          <w:rFonts w:eastAsia="Times New Roman"/>
        </w:rPr>
        <w:t xml:space="preserve">: </w:t>
      </w:r>
      <w:r w:rsidR="00285A8C">
        <w:rPr>
          <w:rFonts w:eastAsia="Times New Roman"/>
        </w:rPr>
        <w:t>779</w:t>
      </w:r>
      <w:r w:rsidR="00C652DB" w:rsidRPr="00C652DB">
        <w:rPr>
          <w:rFonts w:eastAsia="Times New Roman"/>
        </w:rPr>
        <w:t>;</w:t>
      </w:r>
    </w:p>
    <w:p w14:paraId="5AFD0C89" w14:textId="28CEF677" w:rsidR="00BD44B1" w:rsidRDefault="00BD44B1" w:rsidP="00C652DB">
      <w:pPr>
        <w:jc w:val="both"/>
        <w:rPr>
          <w:rFonts w:eastAsia="Times New Roman"/>
        </w:rPr>
      </w:pPr>
      <w:r>
        <w:rPr>
          <w:rFonts w:eastAsia="Times New Roman"/>
        </w:rPr>
        <w:t xml:space="preserve">proventi da </w:t>
      </w:r>
      <w:r w:rsidR="005040F5">
        <w:rPr>
          <w:rFonts w:eastAsia="Times New Roman"/>
        </w:rPr>
        <w:t>feste/</w:t>
      </w:r>
      <w:r>
        <w:rPr>
          <w:rFonts w:eastAsia="Times New Roman"/>
        </w:rPr>
        <w:t xml:space="preserve">manifestazioni: </w:t>
      </w:r>
      <w:r w:rsidR="00285A8C">
        <w:rPr>
          <w:rFonts w:eastAsia="Times New Roman"/>
        </w:rPr>
        <w:t>33.69</w:t>
      </w:r>
      <w:r w:rsidR="00C72D41">
        <w:rPr>
          <w:rFonts w:eastAsia="Times New Roman"/>
        </w:rPr>
        <w:t>9</w:t>
      </w:r>
      <w:r>
        <w:rPr>
          <w:rFonts w:eastAsia="Times New Roman"/>
        </w:rPr>
        <w:t>;</w:t>
      </w:r>
    </w:p>
    <w:p w14:paraId="597F9B78" w14:textId="1C8B56CB" w:rsidR="00BD44B1" w:rsidRDefault="00BD44B1" w:rsidP="00C652DB">
      <w:pPr>
        <w:jc w:val="both"/>
        <w:rPr>
          <w:rFonts w:eastAsia="Times New Roman"/>
        </w:rPr>
      </w:pPr>
      <w:r>
        <w:rPr>
          <w:rFonts w:eastAsia="Times New Roman"/>
        </w:rPr>
        <w:t xml:space="preserve">proventi da altre attività: </w:t>
      </w:r>
      <w:r w:rsidR="00C72D41">
        <w:rPr>
          <w:rFonts w:eastAsia="Times New Roman"/>
        </w:rPr>
        <w:t>2</w:t>
      </w:r>
      <w:r w:rsidR="00076FF5">
        <w:rPr>
          <w:rFonts w:eastAsia="Times New Roman"/>
        </w:rPr>
        <w:t>7.8</w:t>
      </w:r>
      <w:r w:rsidR="00285A8C">
        <w:rPr>
          <w:rFonts w:eastAsia="Times New Roman"/>
        </w:rPr>
        <w:t>26</w:t>
      </w:r>
      <w:r>
        <w:rPr>
          <w:rFonts w:eastAsia="Times New Roman"/>
        </w:rPr>
        <w:t>;</w:t>
      </w:r>
    </w:p>
    <w:p w14:paraId="13C9F1AB" w14:textId="4EFD6A8D" w:rsidR="00BD44B1" w:rsidRPr="00C652DB" w:rsidRDefault="00BD44B1" w:rsidP="00C652DB">
      <w:pPr>
        <w:jc w:val="both"/>
        <w:rPr>
          <w:rFonts w:eastAsia="Times New Roman"/>
        </w:rPr>
      </w:pPr>
    </w:p>
    <w:p w14:paraId="702D8310" w14:textId="7C1C41D9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A </w:t>
      </w:r>
      <w:r w:rsidR="00930882">
        <w:rPr>
          <w:rFonts w:eastAsia="Times New Roman"/>
        </w:rPr>
        <w:t>fronte</w:t>
      </w:r>
      <w:r w:rsidRPr="00C652DB">
        <w:rPr>
          <w:rFonts w:eastAsia="Times New Roman"/>
        </w:rPr>
        <w:t xml:space="preserve"> dei proventi di cui sopra, sono stati registrati oneri della gestione caratteristica per complessivi euro </w:t>
      </w:r>
      <w:r w:rsidR="00C72D41">
        <w:rPr>
          <w:rFonts w:eastAsia="Times New Roman"/>
        </w:rPr>
        <w:t>1</w:t>
      </w:r>
      <w:r w:rsidR="00285A8C">
        <w:rPr>
          <w:rFonts w:eastAsia="Times New Roman"/>
        </w:rPr>
        <w:t>37.821</w:t>
      </w:r>
      <w:r w:rsidRPr="00C652DB">
        <w:rPr>
          <w:rFonts w:eastAsia="Times New Roman"/>
        </w:rPr>
        <w:t>, così ripartiti:</w:t>
      </w:r>
    </w:p>
    <w:p w14:paraId="1D09E99C" w14:textId="5CF1C27D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costi per </w:t>
      </w:r>
      <w:r w:rsidR="00031A69">
        <w:rPr>
          <w:rFonts w:eastAsia="Times New Roman"/>
        </w:rPr>
        <w:t xml:space="preserve">acquisti di </w:t>
      </w:r>
      <w:proofErr w:type="gramStart"/>
      <w:r w:rsidR="00031A69">
        <w:rPr>
          <w:rFonts w:eastAsia="Times New Roman"/>
        </w:rPr>
        <w:t>beni</w:t>
      </w:r>
      <w:r w:rsidR="00E70A26">
        <w:rPr>
          <w:rFonts w:eastAsia="Times New Roman"/>
        </w:rPr>
        <w:t xml:space="preserve"> </w:t>
      </w:r>
      <w:r w:rsidR="009E1963">
        <w:rPr>
          <w:rFonts w:eastAsia="Times New Roman"/>
        </w:rPr>
        <w:t>:</w:t>
      </w:r>
      <w:proofErr w:type="gramEnd"/>
      <w:r w:rsidR="009E1963">
        <w:rPr>
          <w:rFonts w:eastAsia="Times New Roman"/>
        </w:rPr>
        <w:t xml:space="preserve"> </w:t>
      </w:r>
      <w:r w:rsidR="009D0585">
        <w:rPr>
          <w:rFonts w:eastAsia="Times New Roman"/>
        </w:rPr>
        <w:t>30.632</w:t>
      </w:r>
      <w:r w:rsidR="00031A69">
        <w:rPr>
          <w:rFonts w:eastAsia="Times New Roman"/>
        </w:rPr>
        <w:t>;</w:t>
      </w:r>
    </w:p>
    <w:p w14:paraId="1921282A" w14:textId="1BB3D6B7" w:rsidR="009E1963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spese </w:t>
      </w:r>
      <w:r w:rsidR="009E1963">
        <w:rPr>
          <w:rFonts w:eastAsia="Times New Roman"/>
        </w:rPr>
        <w:t xml:space="preserve">per </w:t>
      </w:r>
      <w:r w:rsidR="00031A69">
        <w:rPr>
          <w:rFonts w:eastAsia="Times New Roman"/>
        </w:rPr>
        <w:t>servizi generali</w:t>
      </w:r>
      <w:r w:rsidR="009E1963">
        <w:rPr>
          <w:rFonts w:eastAsia="Times New Roman"/>
        </w:rPr>
        <w:t xml:space="preserve">: </w:t>
      </w:r>
      <w:r w:rsidR="00C72D41">
        <w:rPr>
          <w:rFonts w:eastAsia="Times New Roman"/>
        </w:rPr>
        <w:t>2</w:t>
      </w:r>
      <w:r w:rsidR="009D0585">
        <w:rPr>
          <w:rFonts w:eastAsia="Times New Roman"/>
        </w:rPr>
        <w:t>0.199</w:t>
      </w:r>
      <w:r w:rsidR="00031A69">
        <w:rPr>
          <w:rFonts w:eastAsia="Times New Roman"/>
        </w:rPr>
        <w:t>;</w:t>
      </w:r>
    </w:p>
    <w:p w14:paraId="280E9665" w14:textId="1940A15A" w:rsidR="009E1963" w:rsidRDefault="009E1963" w:rsidP="00C652DB">
      <w:pPr>
        <w:jc w:val="both"/>
        <w:rPr>
          <w:rFonts w:eastAsia="Times New Roman"/>
        </w:rPr>
      </w:pPr>
      <w:r>
        <w:rPr>
          <w:rFonts w:eastAsia="Times New Roman"/>
        </w:rPr>
        <w:t xml:space="preserve">spese per </w:t>
      </w:r>
      <w:r w:rsidR="00031A69">
        <w:rPr>
          <w:rFonts w:eastAsia="Times New Roman"/>
        </w:rPr>
        <w:t xml:space="preserve">godimento bei di terzi (affitti): </w:t>
      </w:r>
      <w:r w:rsidR="009D0585">
        <w:rPr>
          <w:rFonts w:eastAsia="Times New Roman"/>
        </w:rPr>
        <w:t>10.290</w:t>
      </w:r>
      <w:r w:rsidR="00031A69">
        <w:rPr>
          <w:rFonts w:eastAsia="Times New Roman"/>
        </w:rPr>
        <w:t>;</w:t>
      </w:r>
    </w:p>
    <w:p w14:paraId="6AC2FF7B" w14:textId="30E4BDEE" w:rsidR="00031A69" w:rsidRDefault="00031A69" w:rsidP="00C652DB">
      <w:pPr>
        <w:jc w:val="both"/>
        <w:rPr>
          <w:rFonts w:eastAsia="Times New Roman"/>
        </w:rPr>
      </w:pPr>
      <w:r>
        <w:rPr>
          <w:rFonts w:eastAsia="Times New Roman"/>
        </w:rPr>
        <w:t>oneri diversi di gestione</w:t>
      </w:r>
      <w:r w:rsidR="00C72D41">
        <w:rPr>
          <w:rFonts w:eastAsia="Times New Roman"/>
        </w:rPr>
        <w:t xml:space="preserve"> 1</w:t>
      </w:r>
      <w:r w:rsidR="009D0585">
        <w:rPr>
          <w:rFonts w:eastAsia="Times New Roman"/>
        </w:rPr>
        <w:t>8.120</w:t>
      </w:r>
      <w:r>
        <w:rPr>
          <w:rFonts w:eastAsia="Times New Roman"/>
        </w:rPr>
        <w:t>;</w:t>
      </w:r>
    </w:p>
    <w:p w14:paraId="1F5C44AD" w14:textId="6C401B01" w:rsidR="00031A69" w:rsidRDefault="00031A69" w:rsidP="00C652DB">
      <w:pPr>
        <w:jc w:val="both"/>
        <w:rPr>
          <w:rFonts w:eastAsia="Times New Roman"/>
        </w:rPr>
      </w:pPr>
      <w:r>
        <w:rPr>
          <w:rFonts w:eastAsia="Times New Roman"/>
        </w:rPr>
        <w:t xml:space="preserve">contributi ad associazioni: </w:t>
      </w:r>
      <w:r w:rsidR="009D0585">
        <w:rPr>
          <w:rFonts w:eastAsia="Times New Roman"/>
        </w:rPr>
        <w:t>58.580</w:t>
      </w:r>
      <w:r>
        <w:rPr>
          <w:rFonts w:eastAsia="Times New Roman"/>
        </w:rPr>
        <w:t>.</w:t>
      </w:r>
    </w:p>
    <w:p w14:paraId="4042D622" w14:textId="4B6865BD" w:rsidR="00031A69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>Il risultato della gestione caratteristica risulta negativo ed è pari a euro</w:t>
      </w:r>
      <w:r w:rsidR="00031A69">
        <w:rPr>
          <w:rFonts w:eastAsia="Times New Roman"/>
        </w:rPr>
        <w:t xml:space="preserve"> </w:t>
      </w:r>
      <w:r w:rsidR="00867509">
        <w:rPr>
          <w:rFonts w:eastAsia="Times New Roman"/>
        </w:rPr>
        <w:t>46.7</w:t>
      </w:r>
      <w:r w:rsidR="009D0585">
        <w:rPr>
          <w:rFonts w:eastAsia="Times New Roman"/>
        </w:rPr>
        <w:t>96</w:t>
      </w:r>
      <w:r w:rsidR="00031A69">
        <w:rPr>
          <w:rFonts w:eastAsia="Times New Roman"/>
        </w:rPr>
        <w:t>.</w:t>
      </w:r>
    </w:p>
    <w:p w14:paraId="0E50F841" w14:textId="77777777" w:rsidR="00031A69" w:rsidRDefault="00031A69" w:rsidP="00C652DB">
      <w:pPr>
        <w:jc w:val="both"/>
        <w:rPr>
          <w:rFonts w:eastAsia="Times New Roman"/>
        </w:rPr>
      </w:pPr>
    </w:p>
    <w:p w14:paraId="7FA98398" w14:textId="6D1B54BB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La situazione patrimoniale riflette attività per complessivi euro </w:t>
      </w:r>
      <w:r w:rsidR="00076FF5">
        <w:rPr>
          <w:rFonts w:eastAsia="Times New Roman"/>
        </w:rPr>
        <w:t>103.6</w:t>
      </w:r>
      <w:r w:rsidR="009D0585">
        <w:rPr>
          <w:rFonts w:eastAsia="Times New Roman"/>
        </w:rPr>
        <w:t>41</w:t>
      </w:r>
      <w:r w:rsidRPr="00C652DB">
        <w:rPr>
          <w:rFonts w:eastAsia="Times New Roman"/>
        </w:rPr>
        <w:t>, così costituite:</w:t>
      </w:r>
    </w:p>
    <w:p w14:paraId="252A66BD" w14:textId="649FCB4C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immobilizzazioni materiali: </w:t>
      </w:r>
      <w:r w:rsidR="00451681">
        <w:rPr>
          <w:rFonts w:eastAsia="Times New Roman"/>
        </w:rPr>
        <w:t>70.531</w:t>
      </w:r>
      <w:r w:rsidRPr="00C652DB">
        <w:rPr>
          <w:rFonts w:eastAsia="Times New Roman"/>
        </w:rPr>
        <w:t>;</w:t>
      </w:r>
    </w:p>
    <w:p w14:paraId="2AF01547" w14:textId="0D452AB5" w:rsid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crediti: </w:t>
      </w:r>
      <w:r w:rsidR="00076FF5">
        <w:rPr>
          <w:rFonts w:eastAsia="Times New Roman"/>
        </w:rPr>
        <w:t>13.3</w:t>
      </w:r>
      <w:r w:rsidR="009D0585">
        <w:rPr>
          <w:rFonts w:eastAsia="Times New Roman"/>
        </w:rPr>
        <w:t>74</w:t>
      </w:r>
      <w:r w:rsidRPr="00C652DB">
        <w:rPr>
          <w:rFonts w:eastAsia="Times New Roman"/>
        </w:rPr>
        <w:t>;</w:t>
      </w:r>
    </w:p>
    <w:p w14:paraId="576D0DFF" w14:textId="23E432D4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disponibilità liquide: </w:t>
      </w:r>
      <w:r w:rsidR="009D0585">
        <w:rPr>
          <w:rFonts w:eastAsia="Times New Roman"/>
        </w:rPr>
        <w:t>19.736</w:t>
      </w:r>
      <w:r w:rsidRPr="00C652DB">
        <w:rPr>
          <w:rFonts w:eastAsia="Times New Roman"/>
        </w:rPr>
        <w:t>;</w:t>
      </w:r>
    </w:p>
    <w:p w14:paraId="6DED6057" w14:textId="633CB561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Le passività sono pari complessivamente ad euro </w:t>
      </w:r>
      <w:r w:rsidR="005C7311">
        <w:rPr>
          <w:rFonts w:eastAsia="Times New Roman"/>
        </w:rPr>
        <w:t>150</w:t>
      </w:r>
      <w:r w:rsidR="00117C7E">
        <w:rPr>
          <w:rFonts w:eastAsia="Times New Roman"/>
        </w:rPr>
        <w:t>.</w:t>
      </w:r>
      <w:r w:rsidR="005C7311">
        <w:rPr>
          <w:rFonts w:eastAsia="Times New Roman"/>
        </w:rPr>
        <w:t>437</w:t>
      </w:r>
      <w:r w:rsidRPr="00C652DB">
        <w:rPr>
          <w:rFonts w:eastAsia="Times New Roman"/>
        </w:rPr>
        <w:t xml:space="preserve"> e sono costituite da:</w:t>
      </w:r>
    </w:p>
    <w:p w14:paraId="4695D7C0" w14:textId="2B0748CB" w:rsidR="00DC5042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patrimonio netto: </w:t>
      </w:r>
      <w:r w:rsidR="009D0585">
        <w:rPr>
          <w:rFonts w:eastAsia="Times New Roman"/>
        </w:rPr>
        <w:t>-</w:t>
      </w:r>
      <w:r w:rsidR="005C7311">
        <w:rPr>
          <w:rFonts w:eastAsia="Times New Roman"/>
        </w:rPr>
        <w:t>3</w:t>
      </w:r>
      <w:r w:rsidR="00117C7E">
        <w:rPr>
          <w:rFonts w:eastAsia="Times New Roman"/>
        </w:rPr>
        <w:t>.</w:t>
      </w:r>
      <w:r w:rsidR="005C7311">
        <w:rPr>
          <w:rFonts w:eastAsia="Times New Roman"/>
        </w:rPr>
        <w:t>40</w:t>
      </w:r>
      <w:r w:rsidR="00117C7E">
        <w:rPr>
          <w:rFonts w:eastAsia="Times New Roman"/>
        </w:rPr>
        <w:t>4</w:t>
      </w:r>
      <w:r w:rsidRPr="00C652DB">
        <w:rPr>
          <w:rFonts w:eastAsia="Times New Roman"/>
        </w:rPr>
        <w:t>;</w:t>
      </w:r>
      <w:r w:rsidR="00DC5042">
        <w:rPr>
          <w:rFonts w:eastAsia="Times New Roman"/>
        </w:rPr>
        <w:t xml:space="preserve"> </w:t>
      </w:r>
    </w:p>
    <w:p w14:paraId="7D82BB2F" w14:textId="3E84BE3A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fondi per rischi ed oneri: </w:t>
      </w:r>
      <w:r w:rsidR="00031A69">
        <w:rPr>
          <w:rFonts w:eastAsia="Times New Roman"/>
        </w:rPr>
        <w:t>7</w:t>
      </w:r>
      <w:r w:rsidR="007D270B">
        <w:rPr>
          <w:rFonts w:eastAsia="Times New Roman"/>
        </w:rPr>
        <w:t>0.53</w:t>
      </w:r>
      <w:r w:rsidR="00031A69">
        <w:rPr>
          <w:rFonts w:eastAsia="Times New Roman"/>
        </w:rPr>
        <w:t>1</w:t>
      </w:r>
      <w:r w:rsidRPr="00C652DB">
        <w:rPr>
          <w:rFonts w:eastAsia="Times New Roman"/>
        </w:rPr>
        <w:t>;</w:t>
      </w:r>
    </w:p>
    <w:p w14:paraId="0116D7B6" w14:textId="69669C8C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 xml:space="preserve">debiti: </w:t>
      </w:r>
      <w:r w:rsidR="009D0585">
        <w:rPr>
          <w:rFonts w:eastAsia="Times New Roman"/>
        </w:rPr>
        <w:t>83.310</w:t>
      </w:r>
      <w:r w:rsidRPr="00C652DB">
        <w:rPr>
          <w:rFonts w:eastAsia="Times New Roman"/>
        </w:rPr>
        <w:t>;</w:t>
      </w:r>
    </w:p>
    <w:p w14:paraId="0914F3B7" w14:textId="661A30C3" w:rsidR="00C652DB" w:rsidRDefault="00C652DB" w:rsidP="00C652DB">
      <w:pPr>
        <w:jc w:val="both"/>
        <w:rPr>
          <w:rFonts w:eastAsia="Times New Roman"/>
        </w:rPr>
      </w:pPr>
    </w:p>
    <w:p w14:paraId="774A533C" w14:textId="70238AD7" w:rsidR="00A4508C" w:rsidRDefault="00117C7E" w:rsidP="00110ABF">
      <w:pPr>
        <w:jc w:val="both"/>
        <w:rPr>
          <w:rFonts w:eastAsia="Times New Roman"/>
        </w:rPr>
      </w:pPr>
      <w:r>
        <w:rPr>
          <w:rFonts w:eastAsia="Times New Roman"/>
        </w:rPr>
        <w:t>I proventi più</w:t>
      </w:r>
      <w:r w:rsidR="00A4508C">
        <w:rPr>
          <w:rFonts w:eastAsia="Times New Roman"/>
        </w:rPr>
        <w:t xml:space="preserve"> </w:t>
      </w:r>
      <w:r>
        <w:rPr>
          <w:rFonts w:eastAsia="Times New Roman"/>
        </w:rPr>
        <w:t>significativi arrivano dalle nostre feste (33.699) e dall</w:t>
      </w:r>
      <w:r w:rsidR="00A4508C">
        <w:rPr>
          <w:rFonts w:eastAsia="Times New Roman"/>
        </w:rPr>
        <w:t>’</w:t>
      </w:r>
      <w:r>
        <w:rPr>
          <w:rFonts w:eastAsia="Times New Roman"/>
        </w:rPr>
        <w:t>utilizzo del ns salone delle feste da parte di associazioni locali (</w:t>
      </w:r>
      <w:r w:rsidR="00A4508C">
        <w:rPr>
          <w:rFonts w:eastAsia="Times New Roman"/>
        </w:rPr>
        <w:t>2</w:t>
      </w:r>
      <w:r w:rsidR="00076FF5">
        <w:rPr>
          <w:rFonts w:eastAsia="Times New Roman"/>
        </w:rPr>
        <w:t>7.8</w:t>
      </w:r>
      <w:r w:rsidR="00A4508C">
        <w:rPr>
          <w:rFonts w:eastAsia="Times New Roman"/>
        </w:rPr>
        <w:t>26).</w:t>
      </w:r>
    </w:p>
    <w:p w14:paraId="15CD93C4" w14:textId="1071C2C9" w:rsidR="002A407A" w:rsidRDefault="002A407A" w:rsidP="00110ABF">
      <w:pPr>
        <w:jc w:val="both"/>
        <w:rPr>
          <w:rFonts w:eastAsia="Times New Roman"/>
        </w:rPr>
      </w:pPr>
      <w:r>
        <w:rPr>
          <w:rFonts w:eastAsia="Times New Roman"/>
        </w:rPr>
        <w:t xml:space="preserve">I </w:t>
      </w:r>
      <w:r w:rsidR="00117C7E">
        <w:rPr>
          <w:rFonts w:eastAsia="Times New Roman"/>
        </w:rPr>
        <w:t xml:space="preserve">secondi </w:t>
      </w:r>
      <w:r>
        <w:rPr>
          <w:rFonts w:eastAsia="Times New Roman"/>
        </w:rPr>
        <w:t>proventi più significativi</w:t>
      </w:r>
      <w:r w:rsidR="00110ABF">
        <w:rPr>
          <w:rFonts w:eastAsia="Times New Roman"/>
        </w:rPr>
        <w:t xml:space="preserve"> di</w:t>
      </w:r>
      <w:r w:rsidR="004C5819">
        <w:rPr>
          <w:rFonts w:eastAsia="Times New Roman"/>
        </w:rPr>
        <w:t xml:space="preserve"> € </w:t>
      </w:r>
      <w:r w:rsidR="00110ABF">
        <w:rPr>
          <w:rFonts w:eastAsia="Times New Roman"/>
        </w:rPr>
        <w:t>1</w:t>
      </w:r>
      <w:r w:rsidR="00117C7E">
        <w:rPr>
          <w:rFonts w:eastAsia="Times New Roman"/>
        </w:rPr>
        <w:t>5.200</w:t>
      </w:r>
      <w:r w:rsidR="00110ABF">
        <w:rPr>
          <w:rFonts w:eastAsia="Times New Roman"/>
        </w:rPr>
        <w:t xml:space="preserve"> provengono quest’anno dal tesseramento</w:t>
      </w:r>
    </w:p>
    <w:p w14:paraId="3EB17936" w14:textId="10D0A01C" w:rsidR="004C5819" w:rsidRDefault="004C5819" w:rsidP="00110ABF">
      <w:pPr>
        <w:jc w:val="both"/>
        <w:rPr>
          <w:rFonts w:eastAsia="Times New Roman"/>
        </w:rPr>
      </w:pPr>
      <w:r>
        <w:rPr>
          <w:rFonts w:eastAsia="Times New Roman"/>
        </w:rPr>
        <w:t xml:space="preserve">Seguono per importanza numerica i versamenti da persone giuridiche </w:t>
      </w:r>
      <w:r w:rsidR="00110ABF">
        <w:rPr>
          <w:rFonts w:eastAsia="Times New Roman"/>
        </w:rPr>
        <w:t xml:space="preserve">di </w:t>
      </w:r>
      <w:r w:rsidRPr="00110ABF">
        <w:rPr>
          <w:rFonts w:eastAsia="Times New Roman"/>
        </w:rPr>
        <w:t>€ 1</w:t>
      </w:r>
      <w:r w:rsidR="00117C7E">
        <w:rPr>
          <w:rFonts w:eastAsia="Times New Roman"/>
        </w:rPr>
        <w:t>1</w:t>
      </w:r>
      <w:r w:rsidRPr="00110ABF">
        <w:rPr>
          <w:rFonts w:eastAsia="Times New Roman"/>
        </w:rPr>
        <w:t>.000 provenienti dal circolo culturale Primo Piano che ha sede nei nostri locali</w:t>
      </w:r>
      <w:r w:rsidR="00117C7E">
        <w:rPr>
          <w:rFonts w:eastAsia="Times New Roman"/>
        </w:rPr>
        <w:t>.</w:t>
      </w:r>
    </w:p>
    <w:p w14:paraId="209F6E23" w14:textId="2E9B1AC7" w:rsidR="00EB3203" w:rsidRDefault="00EB3203" w:rsidP="00E70A26">
      <w:pPr>
        <w:jc w:val="both"/>
        <w:rPr>
          <w:rFonts w:eastAsia="Times New Roman"/>
        </w:rPr>
      </w:pPr>
      <w:r>
        <w:rPr>
          <w:rFonts w:eastAsia="Times New Roman"/>
        </w:rPr>
        <w:t>Seguono poi le sottoscrizioni da privati</w:t>
      </w:r>
    </w:p>
    <w:p w14:paraId="1C521A9F" w14:textId="36D2186F" w:rsidR="00E70A26" w:rsidRDefault="00E70A26" w:rsidP="00E70A26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Sul fronte dei costi i più significativi</w:t>
      </w:r>
      <w:r w:rsidR="00A4508C">
        <w:rPr>
          <w:rFonts w:eastAsia="Times New Roman"/>
        </w:rPr>
        <w:t>, ad esclusione di euro 30.632 per l’acquisto dei beni utili all’effettuazione delle nostre feste e delle iniziative delle associazioni locali</w:t>
      </w:r>
      <w:r w:rsidR="00867509">
        <w:rPr>
          <w:rFonts w:eastAsia="Times New Roman"/>
        </w:rPr>
        <w:t>,</w:t>
      </w:r>
      <w:r w:rsidR="00A4508C">
        <w:rPr>
          <w:rFonts w:eastAsia="Times New Roman"/>
        </w:rPr>
        <w:t xml:space="preserve"> </w:t>
      </w:r>
      <w:r w:rsidR="001463AE">
        <w:rPr>
          <w:rFonts w:eastAsia="Times New Roman"/>
        </w:rPr>
        <w:t xml:space="preserve">sono di </w:t>
      </w:r>
      <w:r>
        <w:rPr>
          <w:rFonts w:eastAsia="Times New Roman"/>
        </w:rPr>
        <w:t xml:space="preserve">€ </w:t>
      </w:r>
      <w:r w:rsidR="00A4508C">
        <w:rPr>
          <w:rFonts w:eastAsia="Times New Roman"/>
        </w:rPr>
        <w:t xml:space="preserve">20.199 </w:t>
      </w:r>
      <w:r>
        <w:rPr>
          <w:rFonts w:eastAsia="Times New Roman"/>
        </w:rPr>
        <w:t xml:space="preserve">di servizi generali </w:t>
      </w:r>
      <w:r w:rsidR="001463AE">
        <w:rPr>
          <w:rFonts w:eastAsia="Times New Roman"/>
        </w:rPr>
        <w:t>e si riferiscono principalmente alle utenze.</w:t>
      </w:r>
    </w:p>
    <w:p w14:paraId="060A6B31" w14:textId="65349255" w:rsidR="001463AE" w:rsidRDefault="00E70A26" w:rsidP="00E70A26">
      <w:pPr>
        <w:jc w:val="both"/>
        <w:rPr>
          <w:rFonts w:eastAsia="Times New Roman"/>
        </w:rPr>
      </w:pPr>
      <w:r>
        <w:rPr>
          <w:rFonts w:eastAsia="Times New Roman"/>
        </w:rPr>
        <w:t xml:space="preserve">Poi € </w:t>
      </w:r>
      <w:r w:rsidR="001463AE">
        <w:rPr>
          <w:rFonts w:eastAsia="Times New Roman"/>
        </w:rPr>
        <w:t>1</w:t>
      </w:r>
      <w:r w:rsidR="00A4508C">
        <w:rPr>
          <w:rFonts w:eastAsia="Times New Roman"/>
        </w:rPr>
        <w:t>8.120</w:t>
      </w:r>
      <w:r w:rsidR="001463AE">
        <w:rPr>
          <w:rFonts w:eastAsia="Times New Roman"/>
        </w:rPr>
        <w:t xml:space="preserve"> così suddivise:</w:t>
      </w:r>
      <w:r w:rsidR="00BD1033">
        <w:rPr>
          <w:rFonts w:eastAsia="Times New Roman"/>
        </w:rPr>
        <w:t xml:space="preserve"> </w:t>
      </w:r>
      <w:r w:rsidR="004669FE">
        <w:rPr>
          <w:rFonts w:eastAsia="Times New Roman"/>
        </w:rPr>
        <w:t>4</w:t>
      </w:r>
      <w:r w:rsidR="001463AE">
        <w:rPr>
          <w:rFonts w:eastAsia="Times New Roman"/>
        </w:rPr>
        <w:t xml:space="preserve">.236 spese amministrative, </w:t>
      </w:r>
      <w:r w:rsidR="004669FE">
        <w:rPr>
          <w:rFonts w:eastAsia="Times New Roman"/>
        </w:rPr>
        <w:t>2.415</w:t>
      </w:r>
      <w:r w:rsidR="001463AE">
        <w:rPr>
          <w:rFonts w:eastAsia="Times New Roman"/>
        </w:rPr>
        <w:t xml:space="preserve"> varie di produzione e</w:t>
      </w:r>
      <w:r w:rsidR="00BD1033">
        <w:rPr>
          <w:rFonts w:eastAsia="Times New Roman"/>
        </w:rPr>
        <w:t xml:space="preserve"> </w:t>
      </w:r>
      <w:r w:rsidR="004669FE">
        <w:rPr>
          <w:rFonts w:eastAsia="Times New Roman"/>
        </w:rPr>
        <w:t>11.469</w:t>
      </w:r>
      <w:r w:rsidR="001463AE">
        <w:rPr>
          <w:rFonts w:eastAsia="Times New Roman"/>
        </w:rPr>
        <w:t xml:space="preserve"> di costi di manutenzione.</w:t>
      </w:r>
    </w:p>
    <w:p w14:paraId="00ED304B" w14:textId="561673CD" w:rsidR="00B465C6" w:rsidRDefault="00B465C6" w:rsidP="00E70A26">
      <w:pPr>
        <w:jc w:val="both"/>
        <w:rPr>
          <w:rFonts w:eastAsia="Times New Roman"/>
        </w:rPr>
      </w:pPr>
      <w:r>
        <w:rPr>
          <w:rFonts w:eastAsia="Times New Roman"/>
        </w:rPr>
        <w:t>Un peso determinante è dato da</w:t>
      </w:r>
      <w:r w:rsidR="00F84570">
        <w:rPr>
          <w:rFonts w:eastAsia="Times New Roman"/>
        </w:rPr>
        <w:t>i</w:t>
      </w:r>
      <w:r>
        <w:rPr>
          <w:rFonts w:eastAsia="Times New Roman"/>
        </w:rPr>
        <w:t xml:space="preserve"> contribu</w:t>
      </w:r>
      <w:r w:rsidR="00B57B3B">
        <w:rPr>
          <w:rFonts w:eastAsia="Times New Roman"/>
        </w:rPr>
        <w:t>t</w:t>
      </w:r>
      <w:r w:rsidR="00BD1033">
        <w:rPr>
          <w:rFonts w:eastAsia="Times New Roman"/>
        </w:rPr>
        <w:t>i</w:t>
      </w:r>
      <w:r>
        <w:rPr>
          <w:rFonts w:eastAsia="Times New Roman"/>
        </w:rPr>
        <w:t xml:space="preserve"> ad associazioni di € </w:t>
      </w:r>
      <w:r w:rsidR="004669FE">
        <w:rPr>
          <w:rFonts w:eastAsia="Times New Roman"/>
        </w:rPr>
        <w:t>58.580</w:t>
      </w:r>
      <w:r>
        <w:rPr>
          <w:rFonts w:eastAsia="Times New Roman"/>
        </w:rPr>
        <w:t xml:space="preserve"> così suddivisi:</w:t>
      </w:r>
    </w:p>
    <w:p w14:paraId="5089CD63" w14:textId="117FF9CB" w:rsidR="00B465C6" w:rsidRDefault="00B465C6" w:rsidP="00B465C6">
      <w:pPr>
        <w:pStyle w:val="Paragrafoelenco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€ </w:t>
      </w:r>
      <w:r w:rsidR="008B3A0F">
        <w:rPr>
          <w:rFonts w:eastAsia="Times New Roman"/>
        </w:rPr>
        <w:t>25.847</w:t>
      </w:r>
      <w:r>
        <w:rPr>
          <w:rFonts w:eastAsia="Times New Roman"/>
        </w:rPr>
        <w:t xml:space="preserve"> alla Federazione di Reggio Emilia (</w:t>
      </w:r>
      <w:r w:rsidR="008B3A0F">
        <w:rPr>
          <w:rFonts w:eastAsia="Times New Roman"/>
        </w:rPr>
        <w:t>5.996</w:t>
      </w:r>
      <w:r>
        <w:rPr>
          <w:rFonts w:eastAsia="Times New Roman"/>
        </w:rPr>
        <w:t xml:space="preserve"> tes</w:t>
      </w:r>
      <w:r w:rsidR="00F84570">
        <w:rPr>
          <w:rFonts w:eastAsia="Times New Roman"/>
        </w:rPr>
        <w:t>se</w:t>
      </w:r>
      <w:r>
        <w:rPr>
          <w:rFonts w:eastAsia="Times New Roman"/>
        </w:rPr>
        <w:t xml:space="preserve">ramento, </w:t>
      </w:r>
      <w:r w:rsidR="004669FE">
        <w:rPr>
          <w:rFonts w:eastAsia="Times New Roman"/>
        </w:rPr>
        <w:t>1750</w:t>
      </w:r>
      <w:r>
        <w:rPr>
          <w:rFonts w:eastAsia="Times New Roman"/>
        </w:rPr>
        <w:t xml:space="preserve"> </w:t>
      </w:r>
      <w:r w:rsidR="00926B0C">
        <w:rPr>
          <w:rFonts w:eastAsia="Times New Roman"/>
        </w:rPr>
        <w:t xml:space="preserve">quota </w:t>
      </w:r>
      <w:r>
        <w:rPr>
          <w:rFonts w:eastAsia="Times New Roman"/>
        </w:rPr>
        <w:t xml:space="preserve">amministratori, </w:t>
      </w:r>
      <w:r w:rsidR="008B3A0F">
        <w:rPr>
          <w:rFonts w:eastAsia="Times New Roman"/>
        </w:rPr>
        <w:t xml:space="preserve">18.101 </w:t>
      </w:r>
      <w:r>
        <w:rPr>
          <w:rFonts w:eastAsia="Times New Roman"/>
        </w:rPr>
        <w:t>personale d</w:t>
      </w:r>
      <w:r w:rsidR="00F84570">
        <w:rPr>
          <w:rFonts w:eastAsia="Times New Roman"/>
        </w:rPr>
        <w:t>i</w:t>
      </w:r>
      <w:r>
        <w:rPr>
          <w:rFonts w:eastAsia="Times New Roman"/>
        </w:rPr>
        <w:t>pendente</w:t>
      </w:r>
      <w:r w:rsidR="00F84570">
        <w:rPr>
          <w:rFonts w:eastAsia="Times New Roman"/>
        </w:rPr>
        <w:t>)</w:t>
      </w:r>
    </w:p>
    <w:p w14:paraId="698F22E4" w14:textId="1FE75660" w:rsidR="00B16D6A" w:rsidRPr="00FE57B2" w:rsidRDefault="00B465C6" w:rsidP="00B16D6A">
      <w:pPr>
        <w:pStyle w:val="Paragrafoelenco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€</w:t>
      </w:r>
      <w:r w:rsidR="00B57B3B">
        <w:rPr>
          <w:rFonts w:eastAsia="Times New Roman"/>
        </w:rPr>
        <w:t xml:space="preserve"> </w:t>
      </w:r>
      <w:r w:rsidR="008B3A0F">
        <w:rPr>
          <w:rFonts w:eastAsia="Times New Roman"/>
        </w:rPr>
        <w:t>32.733</w:t>
      </w:r>
      <w:r>
        <w:rPr>
          <w:rFonts w:eastAsia="Times New Roman"/>
        </w:rPr>
        <w:t xml:space="preserve"> alla </w:t>
      </w:r>
      <w:r w:rsidR="00F84570">
        <w:rPr>
          <w:rFonts w:eastAsia="Times New Roman"/>
        </w:rPr>
        <w:t>F</w:t>
      </w:r>
      <w:r>
        <w:rPr>
          <w:rFonts w:eastAsia="Times New Roman"/>
        </w:rPr>
        <w:t>ondazione Reggio Tricolore</w:t>
      </w:r>
      <w:r w:rsidR="00B57B3B">
        <w:rPr>
          <w:rFonts w:eastAsia="Times New Roman"/>
        </w:rPr>
        <w:t xml:space="preserve"> per utilizzo locali di sua proprietà</w:t>
      </w:r>
    </w:p>
    <w:p w14:paraId="467D4E4C" w14:textId="77777777" w:rsidR="00C652DB" w:rsidRPr="00C652DB" w:rsidRDefault="00C652DB" w:rsidP="00C652DB">
      <w:pPr>
        <w:jc w:val="both"/>
        <w:rPr>
          <w:rFonts w:eastAsia="Times New Roman"/>
        </w:rPr>
      </w:pPr>
    </w:p>
    <w:p w14:paraId="50318343" w14:textId="77777777" w:rsidR="00C652DB" w:rsidRPr="00C652DB" w:rsidRDefault="00C652DB" w:rsidP="00C652DB">
      <w:pPr>
        <w:jc w:val="both"/>
        <w:rPr>
          <w:rFonts w:eastAsia="Times New Roman"/>
        </w:rPr>
      </w:pPr>
      <w:r w:rsidRPr="00C652DB">
        <w:rPr>
          <w:rFonts w:eastAsia="Times New Roman"/>
        </w:rPr>
        <w:t>EVOLUZIONE POSSIBILE DELLA GESTIONE</w:t>
      </w:r>
    </w:p>
    <w:p w14:paraId="63D4FC61" w14:textId="17CD7F10" w:rsidR="00BD1033" w:rsidRPr="009715C6" w:rsidRDefault="00C67ABB" w:rsidP="00BD1033">
      <w:pPr>
        <w:jc w:val="both"/>
        <w:rPr>
          <w:rFonts w:eastAsia="Times New Roman"/>
        </w:rPr>
      </w:pPr>
      <w:r w:rsidRPr="009715C6">
        <w:rPr>
          <w:rFonts w:eastAsia="Times New Roman"/>
        </w:rPr>
        <w:t>La</w:t>
      </w:r>
      <w:r w:rsidR="00C652DB" w:rsidRPr="009715C6">
        <w:rPr>
          <w:rFonts w:eastAsia="Times New Roman"/>
        </w:rPr>
        <w:t xml:space="preserve"> gestione nel 202</w:t>
      </w:r>
      <w:r w:rsidR="008B3A0F" w:rsidRPr="009715C6">
        <w:rPr>
          <w:rFonts w:eastAsia="Times New Roman"/>
        </w:rPr>
        <w:t>2</w:t>
      </w:r>
      <w:r w:rsidR="00C652DB" w:rsidRPr="009715C6">
        <w:rPr>
          <w:rFonts w:eastAsia="Times New Roman"/>
        </w:rPr>
        <w:t xml:space="preserve"> sarà condizionata </w:t>
      </w:r>
      <w:r w:rsidR="00B16D6A" w:rsidRPr="009715C6">
        <w:rPr>
          <w:rFonts w:eastAsia="Times New Roman"/>
        </w:rPr>
        <w:t>principalmente</w:t>
      </w:r>
      <w:r w:rsidRPr="009715C6">
        <w:rPr>
          <w:rFonts w:eastAsia="Times New Roman"/>
        </w:rPr>
        <w:t xml:space="preserve"> </w:t>
      </w:r>
      <w:r w:rsidR="00F84D76" w:rsidRPr="009715C6">
        <w:rPr>
          <w:rFonts w:eastAsia="Times New Roman"/>
        </w:rPr>
        <w:t xml:space="preserve">dal protrarsi e </w:t>
      </w:r>
      <w:r w:rsidRPr="009715C6">
        <w:rPr>
          <w:rFonts w:eastAsia="Times New Roman"/>
        </w:rPr>
        <w:t>d</w:t>
      </w:r>
      <w:r w:rsidR="00C652DB" w:rsidRPr="009715C6">
        <w:rPr>
          <w:rFonts w:eastAsia="Times New Roman"/>
        </w:rPr>
        <w:t>all’evoluzione della pandemia del covid 19</w:t>
      </w:r>
      <w:r w:rsidR="00A21F06" w:rsidRPr="009715C6">
        <w:rPr>
          <w:rFonts w:eastAsia="Times New Roman"/>
        </w:rPr>
        <w:t xml:space="preserve"> che</w:t>
      </w:r>
      <w:r w:rsidR="00F84D76" w:rsidRPr="009715C6">
        <w:rPr>
          <w:rFonts w:eastAsia="Times New Roman"/>
        </w:rPr>
        <w:t>,</w:t>
      </w:r>
      <w:r w:rsidR="00A21F06" w:rsidRPr="009715C6">
        <w:rPr>
          <w:rFonts w:eastAsia="Times New Roman"/>
        </w:rPr>
        <w:t xml:space="preserve"> ridu</w:t>
      </w:r>
      <w:r w:rsidR="00F84D76" w:rsidRPr="009715C6">
        <w:rPr>
          <w:rFonts w:eastAsia="Times New Roman"/>
        </w:rPr>
        <w:t>cendo</w:t>
      </w:r>
      <w:r w:rsidR="00A21F06" w:rsidRPr="009715C6">
        <w:rPr>
          <w:rFonts w:eastAsia="Times New Roman"/>
        </w:rPr>
        <w:t xml:space="preserve"> la possibilità di far</w:t>
      </w:r>
      <w:r w:rsidRPr="009715C6">
        <w:rPr>
          <w:rFonts w:eastAsia="Times New Roman"/>
        </w:rPr>
        <w:t xml:space="preserve">e </w:t>
      </w:r>
      <w:r w:rsidR="00A21F06" w:rsidRPr="009715C6">
        <w:rPr>
          <w:rFonts w:eastAsia="Times New Roman"/>
        </w:rPr>
        <w:t>iniziative e manifestazioni</w:t>
      </w:r>
      <w:r w:rsidR="00F84D76" w:rsidRPr="009715C6">
        <w:rPr>
          <w:rFonts w:eastAsia="Times New Roman"/>
        </w:rPr>
        <w:t>, renderà difficile il recupero delle perdite.</w:t>
      </w:r>
      <w:r w:rsidR="00BD1033" w:rsidRPr="009715C6">
        <w:rPr>
          <w:rFonts w:eastAsia="Times New Roman"/>
        </w:rPr>
        <w:t xml:space="preserve"> Cercheremo comunque di ripetere l’esperienza del 202</w:t>
      </w:r>
      <w:r w:rsidR="008B3A0F" w:rsidRPr="009715C6">
        <w:rPr>
          <w:rFonts w:eastAsia="Times New Roman"/>
        </w:rPr>
        <w:t>1</w:t>
      </w:r>
      <w:r w:rsidR="00BD1033" w:rsidRPr="009715C6">
        <w:rPr>
          <w:rFonts w:eastAsia="Times New Roman"/>
        </w:rPr>
        <w:t xml:space="preserve"> organizzando la consueta Festa di luglio</w:t>
      </w:r>
      <w:r w:rsidR="008B3A0F" w:rsidRPr="009715C6">
        <w:rPr>
          <w:rFonts w:eastAsia="Times New Roman"/>
        </w:rPr>
        <w:t xml:space="preserve"> così come cercheremo di incentivale l’utilizzo del Salone delle Feste da parte delle Associazioni.</w:t>
      </w:r>
    </w:p>
    <w:p w14:paraId="2BD75813" w14:textId="55AC7376" w:rsidR="006A1C37" w:rsidRPr="009715C6" w:rsidRDefault="00B16D6A" w:rsidP="00C652DB">
      <w:pPr>
        <w:jc w:val="both"/>
        <w:rPr>
          <w:rFonts w:eastAsia="Times New Roman"/>
        </w:rPr>
      </w:pPr>
      <w:r w:rsidRPr="009715C6">
        <w:rPr>
          <w:rFonts w:eastAsia="Times New Roman"/>
        </w:rPr>
        <w:t>Come elemento negativo si rileva</w:t>
      </w:r>
      <w:r w:rsidR="00F84D76" w:rsidRPr="009715C6">
        <w:rPr>
          <w:rFonts w:eastAsia="Times New Roman"/>
        </w:rPr>
        <w:t xml:space="preserve"> anche</w:t>
      </w:r>
      <w:r w:rsidRPr="009715C6">
        <w:rPr>
          <w:rFonts w:eastAsia="Times New Roman"/>
        </w:rPr>
        <w:t xml:space="preserve"> </w:t>
      </w:r>
      <w:r w:rsidR="00A21F06" w:rsidRPr="009715C6">
        <w:rPr>
          <w:rFonts w:eastAsia="Times New Roman"/>
        </w:rPr>
        <w:t xml:space="preserve">l’elevato costo dei servizi generali </w:t>
      </w:r>
      <w:r w:rsidR="008B3A0F" w:rsidRPr="009715C6">
        <w:rPr>
          <w:rFonts w:eastAsia="Times New Roman"/>
        </w:rPr>
        <w:t>e non prevediamo di fare fronte alla situazione</w:t>
      </w:r>
      <w:r w:rsidR="006A1C37" w:rsidRPr="009715C6">
        <w:rPr>
          <w:rFonts w:eastAsia="Times New Roman"/>
        </w:rPr>
        <w:t xml:space="preserve"> poiché è sopraggiunto un altro grave accadimento a livello internazionale (la guerra in Ucraina). </w:t>
      </w:r>
      <w:r w:rsidR="00A21F06" w:rsidRPr="009715C6">
        <w:rPr>
          <w:rFonts w:eastAsia="Times New Roman"/>
        </w:rPr>
        <w:t xml:space="preserve">il contributo alla Federazione PD di Reggio Emilia per il costo della dipendente attiva sul nostro circolo correggese </w:t>
      </w:r>
      <w:r w:rsidR="006A1C37" w:rsidRPr="009715C6">
        <w:rPr>
          <w:rFonts w:eastAsia="Times New Roman"/>
        </w:rPr>
        <w:t xml:space="preserve">prevediamo sarà in diminuzione avendo ridotto alla dipendente l’orario mensile: a partire dal mese di marzo 2022 infatti </w:t>
      </w:r>
      <w:r w:rsidR="00E801FC" w:rsidRPr="009715C6">
        <w:rPr>
          <w:rFonts w:eastAsia="Times New Roman"/>
        </w:rPr>
        <w:t>è passata</w:t>
      </w:r>
      <w:r w:rsidR="006A1C37" w:rsidRPr="009715C6">
        <w:rPr>
          <w:rFonts w:eastAsia="Times New Roman"/>
        </w:rPr>
        <w:t xml:space="preserve"> dalle consuete 27 ore settimanali a 15. Il calo non sarà rilevantissimo </w:t>
      </w:r>
      <w:proofErr w:type="spellStart"/>
      <w:r w:rsidR="006A1C37" w:rsidRPr="009715C6">
        <w:rPr>
          <w:rFonts w:eastAsia="Times New Roman"/>
        </w:rPr>
        <w:t>poichè</w:t>
      </w:r>
      <w:proofErr w:type="spellEnd"/>
      <w:r w:rsidR="006A1C37" w:rsidRPr="009715C6">
        <w:rPr>
          <w:rFonts w:eastAsia="Times New Roman"/>
        </w:rPr>
        <w:t xml:space="preserve"> nel 2021 ha usufruito della CIG</w:t>
      </w:r>
      <w:r w:rsidR="002D3C68" w:rsidRPr="009715C6">
        <w:rPr>
          <w:rFonts w:eastAsia="Times New Roman"/>
        </w:rPr>
        <w:t xml:space="preserve"> straordinaria</w:t>
      </w:r>
      <w:r w:rsidR="006A1C37" w:rsidRPr="009715C6">
        <w:rPr>
          <w:rFonts w:eastAsia="Times New Roman"/>
        </w:rPr>
        <w:t xml:space="preserve"> (decaduta a dicembre 2021).</w:t>
      </w:r>
    </w:p>
    <w:p w14:paraId="586B76AD" w14:textId="1E90AF4A" w:rsidR="00C652DB" w:rsidRPr="009715C6" w:rsidRDefault="006A1C37" w:rsidP="00C652DB">
      <w:pPr>
        <w:jc w:val="both"/>
        <w:rPr>
          <w:rFonts w:eastAsia="Times New Roman"/>
        </w:rPr>
      </w:pPr>
      <w:r w:rsidRPr="009715C6">
        <w:rPr>
          <w:rFonts w:eastAsia="Times New Roman"/>
        </w:rPr>
        <w:t>Relativamente al</w:t>
      </w:r>
      <w:r w:rsidR="00A21F06" w:rsidRPr="009715C6">
        <w:rPr>
          <w:rFonts w:eastAsia="Times New Roman"/>
        </w:rPr>
        <w:t xml:space="preserve"> contributo alla </w:t>
      </w:r>
      <w:r w:rsidR="00F84D76" w:rsidRPr="009715C6">
        <w:rPr>
          <w:rFonts w:eastAsia="Times New Roman"/>
        </w:rPr>
        <w:t>F</w:t>
      </w:r>
      <w:r w:rsidR="00A21F06" w:rsidRPr="009715C6">
        <w:rPr>
          <w:rFonts w:eastAsia="Times New Roman"/>
        </w:rPr>
        <w:t xml:space="preserve">ondazione Reggio </w:t>
      </w:r>
      <w:r w:rsidR="00C67ABB" w:rsidRPr="009715C6">
        <w:rPr>
          <w:rFonts w:eastAsia="Times New Roman"/>
        </w:rPr>
        <w:t>T</w:t>
      </w:r>
      <w:r w:rsidR="00A21F06" w:rsidRPr="009715C6">
        <w:rPr>
          <w:rFonts w:eastAsia="Times New Roman"/>
        </w:rPr>
        <w:t>ricolore per l’utilizzo dei suoi locali</w:t>
      </w:r>
      <w:r w:rsidR="00B57B3B" w:rsidRPr="009715C6">
        <w:rPr>
          <w:rFonts w:eastAsia="Times New Roman"/>
        </w:rPr>
        <w:t xml:space="preserve"> </w:t>
      </w:r>
      <w:r w:rsidR="00B70C12" w:rsidRPr="009715C6">
        <w:rPr>
          <w:rFonts w:eastAsia="Times New Roman"/>
        </w:rPr>
        <w:t>(</w:t>
      </w:r>
      <w:r w:rsidR="00B57B3B" w:rsidRPr="009715C6">
        <w:rPr>
          <w:rFonts w:eastAsia="Times New Roman"/>
        </w:rPr>
        <w:t xml:space="preserve">sede </w:t>
      </w:r>
      <w:r w:rsidR="00F84D76" w:rsidRPr="009715C6">
        <w:rPr>
          <w:rFonts w:eastAsia="Times New Roman"/>
        </w:rPr>
        <w:t xml:space="preserve">del circolo </w:t>
      </w:r>
      <w:r w:rsidR="00B57B3B" w:rsidRPr="009715C6">
        <w:rPr>
          <w:rFonts w:eastAsia="Times New Roman"/>
        </w:rPr>
        <w:t>esclu</w:t>
      </w:r>
      <w:r w:rsidR="00F84D76" w:rsidRPr="009715C6">
        <w:rPr>
          <w:rFonts w:eastAsia="Times New Roman"/>
        </w:rPr>
        <w:t>s</w:t>
      </w:r>
      <w:r w:rsidR="00B57B3B" w:rsidRPr="009715C6">
        <w:rPr>
          <w:rFonts w:eastAsia="Times New Roman"/>
        </w:rPr>
        <w:t xml:space="preserve">a </w:t>
      </w:r>
      <w:r w:rsidR="00F84D76" w:rsidRPr="009715C6">
        <w:rPr>
          <w:rFonts w:eastAsia="Times New Roman"/>
        </w:rPr>
        <w:t xml:space="preserve">poiché </w:t>
      </w:r>
      <w:r w:rsidR="00B57B3B" w:rsidRPr="009715C6">
        <w:rPr>
          <w:rFonts w:eastAsia="Times New Roman"/>
        </w:rPr>
        <w:t>di propri</w:t>
      </w:r>
      <w:r w:rsidR="00F84D76" w:rsidRPr="009715C6">
        <w:rPr>
          <w:rFonts w:eastAsia="Times New Roman"/>
        </w:rPr>
        <w:t>e</w:t>
      </w:r>
      <w:r w:rsidR="00B57B3B" w:rsidRPr="009715C6">
        <w:rPr>
          <w:rFonts w:eastAsia="Times New Roman"/>
        </w:rPr>
        <w:t>tà di privati</w:t>
      </w:r>
      <w:r w:rsidR="00F84D76" w:rsidRPr="009715C6">
        <w:rPr>
          <w:rFonts w:eastAsia="Times New Roman"/>
        </w:rPr>
        <w:t xml:space="preserve"> e per la quale si paga un affitto</w:t>
      </w:r>
      <w:r w:rsidR="00A21F06" w:rsidRPr="009715C6">
        <w:rPr>
          <w:rFonts w:eastAsia="Times New Roman"/>
        </w:rPr>
        <w:t>)</w:t>
      </w:r>
      <w:r w:rsidR="00DF6AE5" w:rsidRPr="009715C6">
        <w:rPr>
          <w:rFonts w:eastAsia="Times New Roman"/>
        </w:rPr>
        <w:t xml:space="preserve"> è in corso un confronto relativo alla revisione dei </w:t>
      </w:r>
      <w:r w:rsidR="00615BFF" w:rsidRPr="009715C6">
        <w:rPr>
          <w:rFonts w:eastAsia="Times New Roman"/>
        </w:rPr>
        <w:t>nostro contributo</w:t>
      </w:r>
      <w:r w:rsidR="00DF6AE5" w:rsidRPr="009715C6">
        <w:rPr>
          <w:rFonts w:eastAsia="Times New Roman"/>
        </w:rPr>
        <w:t>. Si presume tale confronto si concluda entro settembre 2022.</w:t>
      </w:r>
    </w:p>
    <w:p w14:paraId="2B259035" w14:textId="7DE4B3FD" w:rsidR="00BD1033" w:rsidRDefault="00BD1033" w:rsidP="00C652DB">
      <w:pPr>
        <w:jc w:val="both"/>
        <w:rPr>
          <w:rFonts w:eastAsia="Times New Roman"/>
        </w:rPr>
      </w:pPr>
    </w:p>
    <w:p w14:paraId="51DA4C43" w14:textId="36450E26" w:rsidR="00B57B3B" w:rsidRDefault="00B57B3B" w:rsidP="00C652DB">
      <w:pPr>
        <w:jc w:val="both"/>
        <w:rPr>
          <w:rFonts w:eastAsia="Times New Roman"/>
        </w:rPr>
      </w:pPr>
      <w:r>
        <w:rPr>
          <w:rFonts w:eastAsia="Times New Roman"/>
        </w:rPr>
        <w:t xml:space="preserve">La situazione in continuo sviluppo quindi ci impone di tenere monitorata la situazione e così si sta procedendo. </w:t>
      </w:r>
    </w:p>
    <w:p w14:paraId="2862DF72" w14:textId="1FC1150D" w:rsidR="00C652DB" w:rsidRPr="00C652DB" w:rsidRDefault="00C652DB" w:rsidP="00C652DB">
      <w:pPr>
        <w:jc w:val="both"/>
        <w:rPr>
          <w:rFonts w:eastAsia="Times New Roman"/>
        </w:rPr>
      </w:pPr>
    </w:p>
    <w:p w14:paraId="3297616A" w14:textId="77777777" w:rsidR="00292C57" w:rsidRDefault="00292C57" w:rsidP="008A638F">
      <w:pPr>
        <w:jc w:val="both"/>
      </w:pPr>
    </w:p>
    <w:p w14:paraId="7480F2AD" w14:textId="77777777" w:rsidR="008A638F" w:rsidRDefault="008A638F" w:rsidP="008A638F">
      <w:pPr>
        <w:jc w:val="both"/>
      </w:pPr>
    </w:p>
    <w:p w14:paraId="11EAC884" w14:textId="77777777" w:rsidR="008A638F" w:rsidRDefault="008A638F" w:rsidP="008A638F">
      <w:pPr>
        <w:jc w:val="both"/>
      </w:pPr>
      <w:r>
        <w:t>Il Tesoriere</w:t>
      </w:r>
    </w:p>
    <w:p w14:paraId="771B388E" w14:textId="6715CB62" w:rsidR="008A638F" w:rsidRDefault="00A21F06" w:rsidP="008A638F">
      <w:pPr>
        <w:jc w:val="both"/>
      </w:pPr>
      <w:r>
        <w:t>Luciano Incerti</w:t>
      </w:r>
    </w:p>
    <w:sectPr w:rsidR="008A638F" w:rsidSect="002C5157">
      <w:headerReference w:type="default" r:id="rId8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087F" w14:textId="77777777" w:rsidR="0070131C" w:rsidRDefault="0070131C" w:rsidP="008A638F">
      <w:r>
        <w:separator/>
      </w:r>
    </w:p>
  </w:endnote>
  <w:endnote w:type="continuationSeparator" w:id="0">
    <w:p w14:paraId="3257DB84" w14:textId="77777777" w:rsidR="0070131C" w:rsidRDefault="0070131C" w:rsidP="008A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F3A8" w14:textId="77777777" w:rsidR="0070131C" w:rsidRDefault="0070131C" w:rsidP="008A638F">
      <w:r>
        <w:separator/>
      </w:r>
    </w:p>
  </w:footnote>
  <w:footnote w:type="continuationSeparator" w:id="0">
    <w:p w14:paraId="76C79612" w14:textId="77777777" w:rsidR="0070131C" w:rsidRDefault="0070131C" w:rsidP="008A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B545" w14:textId="77777777" w:rsidR="008A638F" w:rsidRDefault="008A638F">
    <w:pPr>
      <w:pStyle w:val="Intestazione"/>
    </w:pPr>
    <w:r>
      <w:rPr>
        <w:rFonts w:eastAsia="Times New Roman"/>
        <w:noProof/>
        <w:lang w:eastAsia="it-IT"/>
      </w:rPr>
      <w:drawing>
        <wp:inline distT="0" distB="0" distL="0" distR="0" wp14:anchorId="73CF266B" wp14:editId="6D01CDC8">
          <wp:extent cx="1466850" cy="1193483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519" cy="119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FC8FF" w14:textId="77777777" w:rsidR="008A638F" w:rsidRDefault="008A638F">
    <w:pPr>
      <w:pStyle w:val="Intestazione"/>
    </w:pPr>
    <w:r>
      <w:t>Il tesoriere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0389"/>
    <w:multiLevelType w:val="hybridMultilevel"/>
    <w:tmpl w:val="A5005E9E"/>
    <w:lvl w:ilvl="0" w:tplc="06985D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8F"/>
    <w:rsid w:val="00031A69"/>
    <w:rsid w:val="000714F8"/>
    <w:rsid w:val="00076FF5"/>
    <w:rsid w:val="00087BDB"/>
    <w:rsid w:val="0010308F"/>
    <w:rsid w:val="00110ABF"/>
    <w:rsid w:val="00117C7E"/>
    <w:rsid w:val="00133573"/>
    <w:rsid w:val="001463AE"/>
    <w:rsid w:val="00176DC9"/>
    <w:rsid w:val="001D1DF8"/>
    <w:rsid w:val="00231CBD"/>
    <w:rsid w:val="0028155D"/>
    <w:rsid w:val="00285A8C"/>
    <w:rsid w:val="00292C57"/>
    <w:rsid w:val="002A37B0"/>
    <w:rsid w:val="002A407A"/>
    <w:rsid w:val="002B7D70"/>
    <w:rsid w:val="002C5157"/>
    <w:rsid w:val="002D3C68"/>
    <w:rsid w:val="00316AAD"/>
    <w:rsid w:val="00375007"/>
    <w:rsid w:val="00385377"/>
    <w:rsid w:val="003B036A"/>
    <w:rsid w:val="003B77FB"/>
    <w:rsid w:val="003F0C3C"/>
    <w:rsid w:val="00451681"/>
    <w:rsid w:val="004669FE"/>
    <w:rsid w:val="004C5819"/>
    <w:rsid w:val="004F52CA"/>
    <w:rsid w:val="005040F5"/>
    <w:rsid w:val="005C7311"/>
    <w:rsid w:val="00614F5F"/>
    <w:rsid w:val="00615BFF"/>
    <w:rsid w:val="006A1C37"/>
    <w:rsid w:val="006C0A33"/>
    <w:rsid w:val="006D7184"/>
    <w:rsid w:val="00700B6F"/>
    <w:rsid w:val="0070131C"/>
    <w:rsid w:val="00760767"/>
    <w:rsid w:val="007918A4"/>
    <w:rsid w:val="007D270B"/>
    <w:rsid w:val="007D5359"/>
    <w:rsid w:val="007E5B1B"/>
    <w:rsid w:val="007F6062"/>
    <w:rsid w:val="00816DB0"/>
    <w:rsid w:val="00827EC8"/>
    <w:rsid w:val="00867509"/>
    <w:rsid w:val="008A638F"/>
    <w:rsid w:val="008B150A"/>
    <w:rsid w:val="008B3A0F"/>
    <w:rsid w:val="008C6F38"/>
    <w:rsid w:val="00926B0C"/>
    <w:rsid w:val="00930882"/>
    <w:rsid w:val="009715C6"/>
    <w:rsid w:val="009D0585"/>
    <w:rsid w:val="009E1963"/>
    <w:rsid w:val="009F217A"/>
    <w:rsid w:val="00A0006D"/>
    <w:rsid w:val="00A21F06"/>
    <w:rsid w:val="00A4508C"/>
    <w:rsid w:val="00A72E60"/>
    <w:rsid w:val="00B045C3"/>
    <w:rsid w:val="00B16D6A"/>
    <w:rsid w:val="00B465C6"/>
    <w:rsid w:val="00B57B3B"/>
    <w:rsid w:val="00B70C12"/>
    <w:rsid w:val="00B81937"/>
    <w:rsid w:val="00BD1033"/>
    <w:rsid w:val="00BD44B1"/>
    <w:rsid w:val="00C0459D"/>
    <w:rsid w:val="00C652DB"/>
    <w:rsid w:val="00C67ABB"/>
    <w:rsid w:val="00C72D41"/>
    <w:rsid w:val="00CB0779"/>
    <w:rsid w:val="00D207E2"/>
    <w:rsid w:val="00D378E8"/>
    <w:rsid w:val="00D82821"/>
    <w:rsid w:val="00DC5042"/>
    <w:rsid w:val="00DF6AE5"/>
    <w:rsid w:val="00E12E45"/>
    <w:rsid w:val="00E448C4"/>
    <w:rsid w:val="00E46AC2"/>
    <w:rsid w:val="00E4738A"/>
    <w:rsid w:val="00E70A26"/>
    <w:rsid w:val="00E801FC"/>
    <w:rsid w:val="00EA6B09"/>
    <w:rsid w:val="00EB3203"/>
    <w:rsid w:val="00F052D4"/>
    <w:rsid w:val="00F565A3"/>
    <w:rsid w:val="00F84570"/>
    <w:rsid w:val="00F84D76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074C"/>
  <w15:docId w15:val="{B5DE2F45-1475-4A4C-A914-E1D1F05B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38F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3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3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6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38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A6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38F"/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4C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707F-D7AB-4E00-9A88-8DE0638C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Alessia Manicardi</dc:creator>
  <cp:lastModifiedBy>tosca PD</cp:lastModifiedBy>
  <cp:revision>6</cp:revision>
  <cp:lastPrinted>2022-06-07T08:14:00Z</cp:lastPrinted>
  <dcterms:created xsi:type="dcterms:W3CDTF">2022-05-23T07:18:00Z</dcterms:created>
  <dcterms:modified xsi:type="dcterms:W3CDTF">2022-06-07T08:14:00Z</dcterms:modified>
</cp:coreProperties>
</file>